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0B6" w:rsidRDefault="00BA70B6" w:rsidP="00BA70B6">
      <w:pPr>
        <w:pStyle w:val="H1"/>
      </w:pPr>
      <w:r>
        <w:t>DOKUMENTY ORAZ DANE NIEZBĘDNE DO PRZYJĘCIA TOWARU:</w:t>
      </w:r>
    </w:p>
    <w:p w:rsidR="00BA70B6" w:rsidRDefault="00A17D24" w:rsidP="00BA70B6">
      <w:pPr>
        <w:pStyle w:val="text1"/>
      </w:pPr>
      <w:bookmarkStart w:id="0" w:name="_GoBack"/>
      <w:r>
        <w:t>Sprzedawca</w:t>
      </w:r>
      <w:r w:rsidR="00BA70B6">
        <w:t xml:space="preserve"> jest zobowiązany do przekazania </w:t>
      </w:r>
      <w:r>
        <w:t>Kupującemu</w:t>
      </w:r>
      <w:r w:rsidR="00BA70B6">
        <w:t xml:space="preserve"> następujących dokumentów danej partii dostawy Towaru przygotowanych oddzielnie dla każdego środka transportu i każdego Zamówienia:</w:t>
      </w:r>
    </w:p>
    <w:bookmarkEnd w:id="0"/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Specyfikacja dostawy, list wysyłkowy lub dokument WZ zawierający dane: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nr Zamówienia lub Umowy;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nazwę </w:t>
      </w:r>
      <w:r w:rsidR="00A17D24">
        <w:t>Sprzedawcy</w:t>
      </w:r>
      <w:r>
        <w:t xml:space="preserve"> i odbiorcy;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sposób i planowaną datę dostawy;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nazwę towaru i indeks materiałowy zgodnie z Zamówieniem;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ilość w jednostkach miary określonych w Umowie lub Zamówieniu, waga netto i brutto;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liczbę opakowań w dostawie;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instrukcje niezbędne do prawidłowego transportu i rozładunku towarów;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listę załączników ze wskazaniem ich umiejscowienia (dokumentacja techniczna, jakościowa itp.);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w przypadku </w:t>
      </w:r>
      <w:r w:rsidR="00A17D24">
        <w:t>Sprzedawcy</w:t>
      </w:r>
      <w:r>
        <w:t xml:space="preserve"> Zagranicznego – kod CN Towaru, miejsce dokonania wysyłki oraz kraj pochodzenia Towaru.</w:t>
      </w:r>
    </w:p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Dokumentacja techniczna: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atesty, certyfikaty, DTR itp. (jeśli wymagane zgodnie z Zamówieniem lub przepisami prawa), przy czym opakowanie, w którym znajduje się taka dokumentacja, powinno być oznaczone napisem „Dokumentacja”;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rysunek rozładunkowy i wytyczne określające sposób bezpiecznego rozładunku i przemieszczania Towaru (w szczególności w przypadku dostaw gabarytowych lub o skomplikowanej konstrukcji, dla których wymagane jest użycie specjalistycznego sprzętu do rozładunku);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instrukcja magazynowania.</w:t>
      </w:r>
    </w:p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Dokumentacja jakościowa: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karty charakterystyki, certyfikat jakości, wykres IR, poświadczenia norm (o ile Umowa tak stanowi).</w:t>
      </w:r>
    </w:p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Inna dokumentacja wskazana w Umowie: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inne specyficzne dla danej dostawy dokumenty będą wskazane w Umowie (np. e-AD, dokument przewozowy).</w:t>
      </w:r>
    </w:p>
    <w:p w:rsidR="00BA70B6" w:rsidRDefault="00BA70B6" w:rsidP="00BA70B6">
      <w:pPr>
        <w:pStyle w:val="H1"/>
        <w:numPr>
          <w:ilvl w:val="0"/>
          <w:numId w:val="14"/>
        </w:numPr>
      </w:pPr>
      <w:r>
        <w:t>OZNAKOWANIE OPAKOWAŃ</w:t>
      </w:r>
    </w:p>
    <w:p w:rsidR="00BA70B6" w:rsidRDefault="00BA70B6" w:rsidP="00BA70B6">
      <w:pPr>
        <w:pStyle w:val="text1"/>
      </w:pPr>
      <w:r>
        <w:t>Oznakowanie na opakowaniu powinno zawierać: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lastRenderedPageBreak/>
        <w:t>nr Zamówienia lub Umowy;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nazwa towaru i indeks materiałowy zgodnie z Zamówieniem;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ilość w jednostkach miary określonych w Umowie lub Zamówieniu, waga netto i brutto;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nr opakowania danej dostawy (np. 1/3, 2/3, 3/3);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zaznaczony środek ciężkości (dla Towarów, których rozładunek i przemieszczanie wymaga użycia wózka widłowego lub dźwignicy);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wyznaczone miejsca, w których należy podpiąć pasy lub </w:t>
      </w:r>
      <w:proofErr w:type="spellStart"/>
      <w:r>
        <w:t>zawiesia</w:t>
      </w:r>
      <w:proofErr w:type="spellEnd"/>
      <w:r>
        <w:t xml:space="preserve"> w celu bezpiecznego rozładunku (dla Towarów, których rozładunek i przemieszczanie wymaga użycia wózka widłowego lub dźwignicy);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sposób postępowania z opakowaniem, np.: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 xml:space="preserve">„ostrożnie szkło”,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„nie rzucać”,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„chronić od zimna”,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„chronić przed deszczem” ,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 xml:space="preserve">„nie piętrować”,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 xml:space="preserve">„otwórz ostrożnie”,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 kierunek otwierania,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oznakowanie zgodnie z umową ADR (jeśli dotyczy).</w:t>
      </w:r>
    </w:p>
    <w:p w:rsidR="00BA70B6" w:rsidRDefault="00BA70B6" w:rsidP="00BA70B6">
      <w:pPr>
        <w:pStyle w:val="H1"/>
        <w:numPr>
          <w:ilvl w:val="0"/>
          <w:numId w:val="14"/>
        </w:numPr>
      </w:pPr>
      <w:r>
        <w:t>OZNAKOWANIE TOWARU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Dostarczane Towary należy oznakować etykietą zawierającą: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nazwa Towaru i indeks materiałowy zgodnie z Zamówieniem;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ilość w jednostkach miary określonych w Umowie lub Zamówieniu, waga netto i brutto.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W przypadku braku możliwości umieszczenia etykiety bezpośrednio na Towarze (przyklejenie) należy zawiesić etykietę za pomocą opaski zaciskowej lub innego trwałego mocowania.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 xml:space="preserve">W przypadku braku właściwego oznakowania Towaru </w:t>
      </w:r>
      <w:r w:rsidR="00A17D24">
        <w:t>Sprzedawca</w:t>
      </w:r>
      <w:r>
        <w:t xml:space="preserve"> jest zobligowany w ciągu 5 dni roboczych od zgłoszenia nieprawidłowości przez </w:t>
      </w:r>
      <w:r w:rsidR="00A17D24">
        <w:t>Kupującego</w:t>
      </w:r>
      <w:r>
        <w:t xml:space="preserve"> do ponownego oznakowania Towaru, a w przypadku błędnie skompletowanych pojedynczych elementów tworzących komplet </w:t>
      </w:r>
      <w:r w:rsidR="00A17D24">
        <w:t>Sprzedawca</w:t>
      </w:r>
      <w:r>
        <w:t xml:space="preserve"> jest zobowiązany do przepakowania i właściwego oznakowania dostarczonego Towaru w magazynie </w:t>
      </w:r>
      <w:r w:rsidR="00A17D24">
        <w:t>Kupującego</w:t>
      </w:r>
      <w:r>
        <w:t>.</w:t>
      </w:r>
    </w:p>
    <w:p w:rsidR="00BA70B6" w:rsidRDefault="00BA70B6" w:rsidP="00BA70B6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</w:p>
    <w:p w:rsidR="00BA70B6" w:rsidRDefault="00BA70B6" w:rsidP="00BA70B6">
      <w:pPr>
        <w:pStyle w:val="H1"/>
        <w:numPr>
          <w:ilvl w:val="0"/>
          <w:numId w:val="14"/>
        </w:numPr>
      </w:pPr>
      <w:r>
        <w:lastRenderedPageBreak/>
        <w:t>OPAKOWANIE TOWARÓW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Towary w ramach jednej pozycji z Zamówienia powinny być zapakowane do jednego opakowania (karton, torba, inne); w przypadku znacznej liczby pojedynczych elementów dopuszcza się zapakowanie do wielu opakowań zbiorczych.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W przypadku produktów chemicznych opakowanie powinno być zgodne z Umową i wymogami umowy ADR.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Towary wrażliwe i podatne na uszkodzenia powinny być zapakowane w oddzielne opakowania zabezpieczające je przed uszkodzeniem.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Opakowania Towarów ciężkich lub wielkogabarytowych powinny posiadać nośnik odpowiedni do ciężaru towaru (palety, skrzynie, kratownice itp.).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 xml:space="preserve">Towary wielkogabarytowe takie, jak: wkłady rurowe, chłodnice, płaszcze itp. powinny być wyposażone w dodatkowe elementy oraz mocowania umożliwiające bezpieczny rozładunek i przemieszczanie Towaru. Towary takie powinny posiadać: 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konstrukcje – uszy do zapięcia haków;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skrzynie – miejsca do zapięcia zawiesi pasowych zabezpieczające je przed zsunięciem;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wkłady rurowe – </w:t>
      </w:r>
      <w:proofErr w:type="spellStart"/>
      <w:r>
        <w:t>demontowalne</w:t>
      </w:r>
      <w:proofErr w:type="spellEnd"/>
      <w:r>
        <w:t xml:space="preserve"> elementy nośne w postaci np. kołysek obejmujące konstrukcyjne elementy wkładu (kołnierze, przegrody) umożliwiające zapięcie zawiesi pasowych zabezpieczające je przed zsunięciem i przetarciem o ostre krawędzie Towaru. 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rPr>
          <w:rFonts w:ascii="Arial" w:hAnsi="Arial" w:cs="Arial"/>
          <w:sz w:val="20"/>
          <w:szCs w:val="20"/>
        </w:rPr>
        <w:t xml:space="preserve">W </w:t>
      </w:r>
      <w:r>
        <w:t xml:space="preserve">przypadku połączenia Towarów z różnych Zamówień w ramach jednego opakowania zbiorczego </w:t>
      </w:r>
      <w:r w:rsidR="00A17D24">
        <w:t>Sprzedawca</w:t>
      </w:r>
      <w:r>
        <w:t xml:space="preserve"> jest zobowiązany do oznakowania Towarów wewnątrz opakowania zbiorczego numerem Zamówienia oraz numerem opakowania.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Do każdego Zamówienia należy dołączyć szczegółowe informacje dotyczące</w:t>
      </w:r>
      <w:r w:rsidR="001250B8">
        <w:t xml:space="preserve"> (dotyczy </w:t>
      </w:r>
      <w:r w:rsidR="00A17D24">
        <w:t>Sprzedawcy</w:t>
      </w:r>
      <w:r w:rsidR="001250B8">
        <w:t xml:space="preserve"> zagranicznych)</w:t>
      </w:r>
      <w:r>
        <w:t>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ilości i masy jednostkowej zastosowanych opakowań: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jednostkowych (służących do przekazywania Towarów użytkownikom w miejscu zakupu Towarów),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zbiorczych (zawierających wielokrotność opakowań jednostkowych Towarów, niezależnie od tego, czy będą one przekazywane użytkownikom, czy też będą służyć zaopatrywaniu punktów sprzedaży Towarów i które można zdjąć z Towarów bez naruszania ich cech), w tym informacji o ilości opakowań jednostkowych w opakowaniu zbiorczym,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transportowych (służących do transportu Towarów w opakowaniach jednostkowych lub zbiorczych w celu zapobiegania uszkodzeniu Produktów, z wyłączeniem kontenerów do transportu lądowego, wodnego lub lotniczego – np. palety drewniane, folia polietylenowa termokurczliwa), w tym informacji o ilości opakowań zbiorczych w opakowaniu transportowym,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lastRenderedPageBreak/>
        <w:t xml:space="preserve">rodzajów, ilości i masy jednostkowej opakowań transportowych lub ich elementów, które zostaną pozostawione </w:t>
      </w:r>
      <w:r w:rsidR="00A17D24">
        <w:t>Kupującemu</w:t>
      </w:r>
      <w:r>
        <w:t xml:space="preserve"> przez </w:t>
      </w:r>
      <w:r w:rsidR="00A17D24">
        <w:t>Sprzedawcę</w:t>
      </w:r>
      <w:r>
        <w:t>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opisu zastosowanych opakowań pozwalających na ich identyfikację (np. butelka, korek, nakrętka, etykieta, banderola, torebka, karton, pudełko, skrzynia, folia termokurczliwa, taśma, zgrzewka, przekładka tekturowa, paleta),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rodzajów i masy materiałów, z jakich wykonane są poszczególne opakowania lub ich elementy, w sposób umożliwiający identyfikację co najmniej następujących materiałów, z których wykonano poszczególne opakowania lub ich elementy: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tworzywa sztuczne,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aluminium,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 xml:space="preserve">stal, w tym stal </w:t>
      </w:r>
      <w:proofErr w:type="spellStart"/>
      <w:r>
        <w:t>blachowa</w:t>
      </w:r>
      <w:proofErr w:type="spellEnd"/>
      <w:r>
        <w:t>, oraz pozostałe metale,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papier i tektura,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szkło,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drewno,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opakowania wielomateriałowe z przewagą tworzyw sztucznych,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opakowania wielomateriałowe z przewagą aluminium,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opakowania wielomateriałowe z przewagą papieru i tektury,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pozostałe,</w:t>
      </w:r>
    </w:p>
    <w:p w:rsidR="00BA70B6" w:rsidRDefault="00BA70B6" w:rsidP="00BA70B6">
      <w:r w:rsidRPr="006A21D6">
        <w:t xml:space="preserve">przy czym </w:t>
      </w:r>
      <w:r w:rsidR="00A17D24">
        <w:t>Sprzedawca</w:t>
      </w:r>
      <w:r w:rsidRPr="006A21D6">
        <w:t xml:space="preserve"> przekaże powyższe informacje zgodnie ze wzorem </w:t>
      </w:r>
      <w:r w:rsidR="006A21D6" w:rsidRPr="006A21D6">
        <w:t>poniżej.</w:t>
      </w:r>
    </w:p>
    <w:p w:rsidR="00BA70B6" w:rsidRDefault="00BA70B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Pr="00E66C39" w:rsidRDefault="00E66C39" w:rsidP="00E66C39">
      <w:pPr>
        <w:jc w:val="center"/>
        <w:rPr>
          <w:rFonts w:ascii="Arial" w:hAnsi="Arial" w:cs="Arial"/>
          <w:b/>
          <w:sz w:val="20"/>
          <w:szCs w:val="20"/>
        </w:rPr>
      </w:pPr>
      <w:r w:rsidRPr="00E66C39">
        <w:rPr>
          <w:rFonts w:ascii="Arial" w:hAnsi="Arial" w:cs="Arial"/>
          <w:b/>
          <w:sz w:val="20"/>
          <w:szCs w:val="20"/>
        </w:rPr>
        <w:lastRenderedPageBreak/>
        <w:t>WZÓR</w:t>
      </w:r>
    </w:p>
    <w:p w:rsidR="00E66C39" w:rsidRPr="003019B2" w:rsidRDefault="00E66C39" w:rsidP="00782445">
      <w:pPr>
        <w:jc w:val="both"/>
        <w:rPr>
          <w:rFonts w:ascii="Arial" w:hAnsi="Arial" w:cs="Arial"/>
          <w:sz w:val="20"/>
          <w:szCs w:val="20"/>
        </w:rPr>
      </w:pPr>
      <w:r w:rsidRPr="00E66C39">
        <w:rPr>
          <w:noProof/>
          <w:lang w:eastAsia="pl-PL"/>
        </w:rPr>
        <w:drawing>
          <wp:inline distT="0" distB="0" distL="0" distR="0">
            <wp:extent cx="8295295" cy="6159852"/>
            <wp:effectExtent l="953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35122" cy="618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6C39" w:rsidRPr="003019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EF" w:rsidRDefault="007732EF" w:rsidP="008C24B2">
      <w:pPr>
        <w:spacing w:after="0" w:line="240" w:lineRule="auto"/>
      </w:pPr>
      <w:r>
        <w:separator/>
      </w:r>
    </w:p>
  </w:endnote>
  <w:endnote w:type="continuationSeparator" w:id="0">
    <w:p w:rsidR="007732EF" w:rsidRDefault="007732EF" w:rsidP="008C2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494346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24B2" w:rsidRPr="007C524B" w:rsidRDefault="003019B2" w:rsidP="003019B2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8C24B2" w:rsidRPr="00030D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00C12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8C24B2" w:rsidRPr="00030D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00C12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EF" w:rsidRDefault="007732EF" w:rsidP="008C24B2">
      <w:pPr>
        <w:spacing w:after="0" w:line="240" w:lineRule="auto"/>
      </w:pPr>
      <w:r>
        <w:separator/>
      </w:r>
    </w:p>
  </w:footnote>
  <w:footnote w:type="continuationSeparator" w:id="0">
    <w:p w:rsidR="007732EF" w:rsidRDefault="007732EF" w:rsidP="008C2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53" w:rsidRPr="00204A53" w:rsidRDefault="00204A53" w:rsidP="00204A53">
    <w:pPr>
      <w:spacing w:after="100"/>
      <w:jc w:val="center"/>
      <w:rPr>
        <w:rFonts w:ascii="Arial" w:hAnsi="Arial" w:cs="Arial"/>
        <w:b/>
        <w:sz w:val="24"/>
        <w:szCs w:val="24"/>
      </w:rPr>
    </w:pPr>
    <w:r w:rsidRPr="00204A53">
      <w:rPr>
        <w:rFonts w:ascii="Arial" w:hAnsi="Arial" w:cs="Arial"/>
        <w:b/>
        <w:sz w:val="24"/>
        <w:szCs w:val="24"/>
      </w:rPr>
      <w:t xml:space="preserve">Wymagania związane z przyjęciem dostawy Towarów </w:t>
    </w:r>
  </w:p>
  <w:p w:rsidR="00204A53" w:rsidRPr="00D8251D" w:rsidRDefault="00204A53" w:rsidP="00204A53">
    <w:pPr>
      <w:spacing w:after="100"/>
      <w:jc w:val="center"/>
      <w:rPr>
        <w:rFonts w:ascii="Arial" w:hAnsi="Arial" w:cs="Arial"/>
        <w:b/>
        <w:sz w:val="24"/>
        <w:szCs w:val="24"/>
      </w:rPr>
    </w:pPr>
    <w:r w:rsidRPr="00204A53">
      <w:rPr>
        <w:rFonts w:ascii="Arial" w:hAnsi="Arial" w:cs="Arial"/>
        <w:b/>
        <w:sz w:val="24"/>
        <w:szCs w:val="24"/>
      </w:rPr>
      <w:t>do magazynu ORLEN S.A.</w:t>
    </w:r>
  </w:p>
  <w:p w:rsidR="00204A53" w:rsidRDefault="00204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F01"/>
    <w:multiLevelType w:val="hybridMultilevel"/>
    <w:tmpl w:val="8A4062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E723A30"/>
    <w:multiLevelType w:val="hybridMultilevel"/>
    <w:tmpl w:val="15CEC73A"/>
    <w:lvl w:ilvl="0" w:tplc="9DD80BE4">
      <w:start w:val="1"/>
      <w:numFmt w:val="lowerLetter"/>
      <w:lvlText w:val="%1)"/>
      <w:lvlJc w:val="left"/>
      <w:pPr>
        <w:ind w:left="1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3" w15:restartNumberingAfterBreak="0">
    <w:nsid w:val="2D3F7543"/>
    <w:multiLevelType w:val="hybridMultilevel"/>
    <w:tmpl w:val="CCE29D44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C2C28"/>
    <w:multiLevelType w:val="hybridMultilevel"/>
    <w:tmpl w:val="6CA2FF62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93DCD"/>
    <w:multiLevelType w:val="hybridMultilevel"/>
    <w:tmpl w:val="56F20128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5176E"/>
    <w:multiLevelType w:val="multilevel"/>
    <w:tmpl w:val="FF7E3FD6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0A538A"/>
    <w:multiLevelType w:val="multilevel"/>
    <w:tmpl w:val="4842A02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eastAsia="Times New Roman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D422A3"/>
    <w:multiLevelType w:val="multilevel"/>
    <w:tmpl w:val="E2F2EA3A"/>
    <w:lvl w:ilvl="0">
      <w:numFmt w:val="bullet"/>
      <w:lvlText w:val="-"/>
      <w:lvlJc w:val="left"/>
      <w:pPr>
        <w:tabs>
          <w:tab w:val="num" w:pos="810"/>
        </w:tabs>
        <w:ind w:left="810" w:hanging="405"/>
      </w:pPr>
      <w:rPr>
        <w:rFonts w:ascii="Arial" w:eastAsia="SimSun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1800"/>
      </w:pPr>
      <w:rPr>
        <w:rFonts w:hint="default"/>
      </w:rPr>
    </w:lvl>
  </w:abstractNum>
  <w:abstractNum w:abstractNumId="9" w15:restartNumberingAfterBreak="0">
    <w:nsid w:val="6170540F"/>
    <w:multiLevelType w:val="multilevel"/>
    <w:tmpl w:val="ED36DE4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eastAsia="Times New Roman" w:hAnsi="Arial" w:cs="Arial"/>
        <w:b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87C359E"/>
    <w:multiLevelType w:val="hybridMultilevel"/>
    <w:tmpl w:val="79E0FD60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852CD5"/>
    <w:multiLevelType w:val="hybridMultilevel"/>
    <w:tmpl w:val="58F87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1B466A"/>
    <w:multiLevelType w:val="hybridMultilevel"/>
    <w:tmpl w:val="2BCE0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8"/>
  </w:num>
  <w:num w:numId="12">
    <w:abstractNumId w:val="1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4B2"/>
    <w:rsid w:val="00005F70"/>
    <w:rsid w:val="0002267E"/>
    <w:rsid w:val="00030D67"/>
    <w:rsid w:val="0003190D"/>
    <w:rsid w:val="00053657"/>
    <w:rsid w:val="00067D0D"/>
    <w:rsid w:val="000D0F74"/>
    <w:rsid w:val="000D39A1"/>
    <w:rsid w:val="001250B8"/>
    <w:rsid w:val="0018435A"/>
    <w:rsid w:val="00204A53"/>
    <w:rsid w:val="00217D64"/>
    <w:rsid w:val="002E1E7D"/>
    <w:rsid w:val="003019B2"/>
    <w:rsid w:val="00331C20"/>
    <w:rsid w:val="003D5269"/>
    <w:rsid w:val="00400B94"/>
    <w:rsid w:val="00400C12"/>
    <w:rsid w:val="004D40F7"/>
    <w:rsid w:val="005106E1"/>
    <w:rsid w:val="005F6512"/>
    <w:rsid w:val="006614FA"/>
    <w:rsid w:val="006A21D6"/>
    <w:rsid w:val="006E1F2D"/>
    <w:rsid w:val="00735C36"/>
    <w:rsid w:val="00756075"/>
    <w:rsid w:val="007724BB"/>
    <w:rsid w:val="007732EF"/>
    <w:rsid w:val="00782445"/>
    <w:rsid w:val="007B3A71"/>
    <w:rsid w:val="007C524B"/>
    <w:rsid w:val="007E2E2B"/>
    <w:rsid w:val="007E3955"/>
    <w:rsid w:val="00800194"/>
    <w:rsid w:val="0081539A"/>
    <w:rsid w:val="008C24B2"/>
    <w:rsid w:val="00933618"/>
    <w:rsid w:val="009C30FC"/>
    <w:rsid w:val="009C7ABD"/>
    <w:rsid w:val="009D64B2"/>
    <w:rsid w:val="009E6A1B"/>
    <w:rsid w:val="00A00C83"/>
    <w:rsid w:val="00A01A80"/>
    <w:rsid w:val="00A17D24"/>
    <w:rsid w:val="00AF18ED"/>
    <w:rsid w:val="00B10097"/>
    <w:rsid w:val="00B34883"/>
    <w:rsid w:val="00B85D91"/>
    <w:rsid w:val="00B95417"/>
    <w:rsid w:val="00BA35D5"/>
    <w:rsid w:val="00BA70B6"/>
    <w:rsid w:val="00BC4A1D"/>
    <w:rsid w:val="00BF1EA8"/>
    <w:rsid w:val="00C747E6"/>
    <w:rsid w:val="00C85ACF"/>
    <w:rsid w:val="00CB441F"/>
    <w:rsid w:val="00CB727D"/>
    <w:rsid w:val="00D83196"/>
    <w:rsid w:val="00DF7B84"/>
    <w:rsid w:val="00E13B8B"/>
    <w:rsid w:val="00E31F43"/>
    <w:rsid w:val="00E66C39"/>
    <w:rsid w:val="00EE56F3"/>
    <w:rsid w:val="00F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771DB"/>
  <w15:docId w15:val="{09C00418-F46E-4059-AD84-E48B0731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4B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C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4B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30D6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1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E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EA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1E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1EA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EA8"/>
    <w:rPr>
      <w:rFonts w:ascii="Tahoma" w:hAnsi="Tahoma" w:cs="Tahoma"/>
      <w:sz w:val="16"/>
      <w:szCs w:val="16"/>
      <w:lang w:eastAsia="en-US"/>
    </w:rPr>
  </w:style>
  <w:style w:type="paragraph" w:customStyle="1" w:styleId="text1">
    <w:name w:val="text 1"/>
    <w:basedOn w:val="Normalny"/>
    <w:rsid w:val="00BA70B6"/>
    <w:pPr>
      <w:spacing w:before="120" w:after="120" w:line="288" w:lineRule="auto"/>
      <w:ind w:left="567"/>
      <w:jc w:val="both"/>
    </w:pPr>
    <w:rPr>
      <w:rFonts w:eastAsiaTheme="minorHAnsi" w:cs="Calibri"/>
      <w:color w:val="000000"/>
    </w:rPr>
  </w:style>
  <w:style w:type="paragraph" w:customStyle="1" w:styleId="H1">
    <w:name w:val="H1"/>
    <w:basedOn w:val="Normalny"/>
    <w:rsid w:val="00BA70B6"/>
    <w:pPr>
      <w:keepNext/>
      <w:numPr>
        <w:numId w:val="13"/>
      </w:numPr>
      <w:spacing w:before="120" w:after="120" w:line="288" w:lineRule="auto"/>
      <w:jc w:val="both"/>
    </w:pPr>
    <w:rPr>
      <w:rFonts w:eastAsiaTheme="minorHAnsi" w:cs="Calibri"/>
      <w:b/>
      <w:bCs/>
      <w:caps/>
      <w:color w:val="000000"/>
      <w:lang w:eastAsia="pl-PL"/>
    </w:rPr>
  </w:style>
  <w:style w:type="paragraph" w:customStyle="1" w:styleId="H2">
    <w:name w:val="H2"/>
    <w:basedOn w:val="Normalny"/>
    <w:rsid w:val="00BA70B6"/>
    <w:pPr>
      <w:numPr>
        <w:ilvl w:val="1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3">
    <w:name w:val="H3"/>
    <w:basedOn w:val="Normalny"/>
    <w:rsid w:val="00BA70B6"/>
    <w:pPr>
      <w:numPr>
        <w:ilvl w:val="2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4">
    <w:name w:val="H4"/>
    <w:basedOn w:val="Normalny"/>
    <w:rsid w:val="00BA70B6"/>
    <w:pPr>
      <w:numPr>
        <w:ilvl w:val="3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5">
    <w:name w:val="H5"/>
    <w:basedOn w:val="Normalny"/>
    <w:rsid w:val="00BA70B6"/>
    <w:pPr>
      <w:numPr>
        <w:ilvl w:val="4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6">
    <w:name w:val="H6"/>
    <w:basedOn w:val="Normalny"/>
    <w:rsid w:val="00BA70B6"/>
    <w:pPr>
      <w:numPr>
        <w:ilvl w:val="5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7">
    <w:name w:val="H7"/>
    <w:basedOn w:val="Normalny"/>
    <w:rsid w:val="00BA70B6"/>
    <w:pPr>
      <w:numPr>
        <w:ilvl w:val="6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Borowska</dc:creator>
  <cp:lastModifiedBy>Ratkowska Małgorzata (ORL)</cp:lastModifiedBy>
  <cp:revision>15</cp:revision>
  <dcterms:created xsi:type="dcterms:W3CDTF">2021-12-06T11:41:00Z</dcterms:created>
  <dcterms:modified xsi:type="dcterms:W3CDTF">2024-01-12T12:02:00Z</dcterms:modified>
</cp:coreProperties>
</file>